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74"/>
        <w:gridCol w:w="3399"/>
        <w:tblGridChange w:id="0">
          <w:tblGrid>
            <w:gridCol w:w="6374"/>
            <w:gridCol w:w="339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Angela Maritza Lopera Jaramillo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rtl w:val="0"/>
              </w:rPr>
              <w:t xml:space="preserve">Bloque 1- 428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angela.loperaja@amigo.edu.co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85.0" w:type="dxa"/>
        <w:jc w:val="left"/>
        <w:tblInd w:w="-6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620"/>
        <w:gridCol w:w="1725"/>
        <w:gridCol w:w="1680"/>
        <w:gridCol w:w="1095"/>
        <w:gridCol w:w="1545"/>
        <w:gridCol w:w="1455"/>
        <w:gridCol w:w="1065"/>
        <w:tblGridChange w:id="0">
          <w:tblGrid>
            <w:gridCol w:w="1620"/>
            <w:gridCol w:w="1725"/>
            <w:gridCol w:w="1680"/>
            <w:gridCol w:w="1095"/>
            <w:gridCol w:w="1545"/>
            <w:gridCol w:w="1455"/>
            <w:gridCol w:w="106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Coordinación</w:t>
            </w:r>
          </w:p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Acompañamiento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Coordinación</w:t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Acompañamiento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Docencia Indirecta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Acompañamiento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 Acompañamiento prácticas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Acompañamiento prácticas</w:t>
            </w:r>
          </w:p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e6e6e6" w:val="clear"/>
                <w:rtl w:val="0"/>
              </w:rPr>
              <w:t xml:space="preserve"> PSTGMD254 TRabajo de grado II 1-405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shd w:fill="cfe2f3" w:val="clear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cfe2f3" w:val="clear"/>
                <w:rtl w:val="0"/>
              </w:rPr>
              <w:t xml:space="preserve">EEATG52 Trabajo de grado II- distancia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e6e6e6" w:val="clear"/>
                <w:rtl w:val="0"/>
              </w:rPr>
              <w:t xml:space="preserve">PSTGMD254 TRabajo de grado II 1-405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fe2f3" w:val="clear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cfe2f3" w:val="clear"/>
                <w:rtl w:val="0"/>
              </w:rPr>
              <w:t xml:space="preserve">EEATG52 Trabajo de grado II distancia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e6e6e6" w:val="clear"/>
                <w:rtl w:val="0"/>
              </w:rPr>
              <w:t xml:space="preserve">PSTGMD254 TRabajo de grado II 1-208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sz w:val="20"/>
                <w:szCs w:val="20"/>
                <w:shd w:fill="cfe2f3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shd w:fill="cfe2f3" w:val="clear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cfe2f3" w:val="clear"/>
                <w:rtl w:val="0"/>
              </w:rPr>
              <w:t xml:space="preserve">EEATG52 Trabajo de grado II distancia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shd w:fill="e6e6e6" w:val="clear"/>
                <w:rtl w:val="0"/>
              </w:rPr>
              <w:t xml:space="preserve">PSTGMD254 TRabajo de grado II 1-208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color w:val="333333"/>
                <w:sz w:val="20"/>
                <w:szCs w:val="20"/>
                <w:highlight w:val="white"/>
                <w:rtl w:val="0"/>
              </w:rPr>
              <w:t xml:space="preserve">EEATG52 Trabajo de grado II distancia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Nota: Las siguientes fechas el horario varía por clases en los posgrados</w:t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 EIP24, </w:t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Martes,</w:t>
      </w: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miércoles y jueves entre el 21 de mayo al 5 de junio</w:t>
      </w: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, clase presencial de Diagnóstico e intervención psicosocial con la Especialización </w:t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de 6 pm a 10 pm.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0" w:firstLine="0"/>
        <w:rPr>
          <w:b w:val="1"/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720" w:hanging="360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 EIP68 distancia entre el </w:t>
      </w:r>
      <w:r w:rsidDel="00000000" w:rsidR="00000000" w:rsidRPr="00000000">
        <w:rPr>
          <w:b w:val="1"/>
          <w:color w:val="333333"/>
          <w:sz w:val="23"/>
          <w:szCs w:val="23"/>
          <w:highlight w:val="white"/>
          <w:rtl w:val="0"/>
        </w:rPr>
        <w:t xml:space="preserve">25 de mayo y el 15 de junio</w:t>
      </w:r>
      <w:r w:rsidDel="00000000" w:rsidR="00000000" w:rsidRPr="00000000">
        <w:rPr>
          <w:color w:val="333333"/>
          <w:sz w:val="23"/>
          <w:szCs w:val="23"/>
          <w:highlight w:val="white"/>
          <w:rtl w:val="0"/>
        </w:rPr>
        <w:t xml:space="preserve"> asesorías virtuales, acompañamiento distancia en la Especialización.</w:t>
      </w:r>
    </w:p>
    <w:p w:rsidR="00000000" w:rsidDel="00000000" w:rsidP="00000000" w:rsidRDefault="00000000" w:rsidRPr="00000000" w14:paraId="0000009B">
      <w:pPr>
        <w:ind w:left="720" w:firstLine="0"/>
        <w:rPr>
          <w:color w:val="333333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>
          <w:color w:val="333333"/>
          <w:sz w:val="23"/>
          <w:szCs w:val="23"/>
          <w:shd w:fill="e6e6e6" w:val="clear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-535938</wp:posOffset>
          </wp:positionV>
          <wp:extent cx="11095990" cy="10028694"/>
          <wp:effectExtent b="0" l="0" r="0" t="0"/>
          <wp:wrapNone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7BzAf7WeXf1/5V3QmORpFlO8TQ==">CgMxLjA4AHIhMTRWOEtwa285MTVrOWwzUnluQUw3RlZmNS1uYTJfZW50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